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6F3C1" w14:textId="77777777" w:rsidR="00A1627C" w:rsidRDefault="00624095">
      <w:pPr>
        <w:pStyle w:val="Titolo"/>
        <w:ind w:firstLine="0"/>
        <w:rPr>
          <w:b/>
        </w:rPr>
      </w:pPr>
      <w:bookmarkStart w:id="0" w:name="_heading=h.gjdgxs" w:colFirst="0" w:colLast="0"/>
      <w:bookmarkEnd w:id="0"/>
      <w:r>
        <w:rPr>
          <w:b/>
        </w:rPr>
        <w:t xml:space="preserve"> </w:t>
      </w:r>
      <w:r>
        <w:rPr>
          <w:b/>
        </w:rPr>
        <w:t>“Children of the Anthropocene”</w:t>
      </w:r>
    </w:p>
    <w:p w14:paraId="4DD1E7CA" w14:textId="77777777" w:rsidR="00A1627C" w:rsidRDefault="00624095">
      <w:pPr>
        <w:pStyle w:val="Sottotitolo"/>
        <w:ind w:hanging="15"/>
        <w:rPr>
          <w:color w:val="000000"/>
          <w:sz w:val="40"/>
          <w:szCs w:val="40"/>
        </w:rPr>
      </w:pPr>
      <w:bookmarkStart w:id="1" w:name="_heading=h.30j0zll" w:colFirst="0" w:colLast="0"/>
      <w:bookmarkEnd w:id="1"/>
      <w:r>
        <w:rPr>
          <w:color w:val="000000"/>
          <w:sz w:val="40"/>
          <w:szCs w:val="40"/>
        </w:rPr>
        <w:t>Seminario del 18/11/22 con la dott.ssa Kaire, Vilnius</w:t>
      </w:r>
    </w:p>
    <w:p w14:paraId="08B5FE76" w14:textId="77777777" w:rsidR="00A1627C" w:rsidRDefault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</w:rPr>
      </w:pPr>
      <w:r>
        <w:rPr>
          <w:noProof/>
          <w:color w:val="000000"/>
          <w:sz w:val="24"/>
          <w:szCs w:val="24"/>
          <w:lang w:val="it-IT"/>
        </w:rPr>
        <w:drawing>
          <wp:inline distT="114300" distB="114300" distL="114300" distR="114300" wp14:anchorId="3F1E6D90" wp14:editId="0D5E06A1">
            <wp:extent cx="5943600" cy="38100"/>
            <wp:effectExtent l="0" t="0" r="0" b="0"/>
            <wp:docPr id="6" name="image1.png" descr="linea oriz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nea orizzontal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FB2AF" w14:textId="77777777" w:rsidR="00A1627C" w:rsidRDefault="00624095">
      <w:pPr>
        <w:pStyle w:val="Titolo1"/>
        <w:spacing w:before="120"/>
        <w:ind w:hanging="15"/>
        <w:rPr>
          <w:b w:val="0"/>
          <w:sz w:val="22"/>
          <w:szCs w:val="22"/>
        </w:rPr>
      </w:pPr>
      <w:bookmarkStart w:id="2" w:name="_heading=h.1fob9te" w:colFirst="0" w:colLast="0"/>
      <w:bookmarkEnd w:id="2"/>
      <w:r>
        <w:rPr>
          <w:b w:val="0"/>
          <w:noProof/>
          <w:sz w:val="22"/>
          <w:szCs w:val="22"/>
          <w:lang w:val="it-IT"/>
        </w:rPr>
        <w:drawing>
          <wp:inline distT="114300" distB="114300" distL="114300" distR="114300" wp14:anchorId="6B3115BE" wp14:editId="551C1042">
            <wp:extent cx="5929313" cy="4237938"/>
            <wp:effectExtent l="0" t="0" r="0" b="0"/>
            <wp:docPr id="8" name="image3.png" descr="Segnaposto 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egnaposto immagine"/>
                    <pic:cNvPicPr preferRelativeResize="0"/>
                  </pic:nvPicPr>
                  <pic:blipFill>
                    <a:blip r:embed="rId9"/>
                    <a:srcRect l="11750" r="11750"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423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6B7CC" w14:textId="77777777" w:rsidR="00A1627C" w:rsidRDefault="00624095" w:rsidP="00624095">
      <w:pPr>
        <w:pStyle w:val="Titolo1"/>
        <w:spacing w:line="276" w:lineRule="auto"/>
        <w:ind w:hanging="15"/>
      </w:pPr>
      <w:bookmarkStart w:id="3" w:name="_heading=h.3znysh7" w:colFirst="0" w:colLast="0"/>
      <w:bookmarkEnd w:id="3"/>
      <w:r>
        <w:t>Introduzione</w:t>
      </w:r>
    </w:p>
    <w:p w14:paraId="4CE5C6E1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bookmarkStart w:id="4" w:name="_heading=h.2et92p0" w:colFirst="0" w:colLast="0"/>
      <w:bookmarkEnd w:id="4"/>
      <w:r>
        <w:rPr>
          <w:color w:val="000000"/>
        </w:rPr>
        <w:t>In data 18/11/22, al liceo classico Nicola Spedalieri si è tenuto un seminario laboratoriale della professoressa Sandra Kaire, proveniente dalla Università di Vilnius, in Lituania, ospite del Disfor (Dipartimento delle Scienze della Formazione) dell'Univer</w:t>
      </w:r>
      <w:r>
        <w:rPr>
          <w:color w:val="000000"/>
        </w:rPr>
        <w:t>sità di Catania, accompagnata ed introdotta dalla prof.ssa Adriana Cantaro e da</w:t>
      </w:r>
      <w:r>
        <w:t>lle dottoresse C. Tutino ed Heidi Littunen</w:t>
      </w:r>
      <w:r>
        <w:rPr>
          <w:color w:val="000000"/>
        </w:rPr>
        <w:t>. La classe IIIA,</w:t>
      </w:r>
      <w:r>
        <w:t xml:space="preserve"> della </w:t>
      </w:r>
      <w:r>
        <w:rPr>
          <w:color w:val="000000"/>
        </w:rPr>
        <w:t>sezione Cambridge IGCSE del</w:t>
      </w:r>
      <w:r>
        <w:t xml:space="preserve"> nostro liceo,</w:t>
      </w:r>
      <w:r>
        <w:rPr>
          <w:color w:val="000000"/>
        </w:rPr>
        <w:t xml:space="preserve"> ha partecipato all’incontro, che s</w:t>
      </w:r>
      <w:r>
        <w:t xml:space="preserve">i è </w:t>
      </w:r>
      <w:r>
        <w:rPr>
          <w:color w:val="000000"/>
        </w:rPr>
        <w:t>tenuto in biblioteca</w:t>
      </w:r>
      <w:r>
        <w:t>, e rigoros</w:t>
      </w:r>
      <w:r>
        <w:t>amente in lingua inglese.</w:t>
      </w:r>
    </w:p>
    <w:p w14:paraId="260B814D" w14:textId="77777777" w:rsidR="00A1627C" w:rsidRDefault="00624095" w:rsidP="00624095">
      <w:pPr>
        <w:pStyle w:val="Titolo2"/>
        <w:spacing w:line="276" w:lineRule="auto"/>
        <w:ind w:hanging="15"/>
      </w:pPr>
      <w:bookmarkStart w:id="5" w:name="_heading=h.tyjcwt" w:colFirst="0" w:colLast="0"/>
      <w:bookmarkEnd w:id="5"/>
      <w:r>
        <w:t xml:space="preserve">Presentazione dell’Università di Vilnius </w:t>
      </w:r>
    </w:p>
    <w:p w14:paraId="226C3F77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15"/>
        <w:jc w:val="both"/>
        <w:rPr>
          <w:color w:val="000000"/>
        </w:rPr>
      </w:pPr>
      <w:r>
        <w:rPr>
          <w:color w:val="000000"/>
        </w:rPr>
        <w:t>Durante la prima parte dell’incontro, la prof.ssa Sandra Kaire ha fatto una presentazione del proprio paese, la Lituania, evidenziandone le principali caratteristiche, e parlando della sua università di appartenenza: la Vilnius University, fondata nel 1579</w:t>
      </w:r>
      <w:r>
        <w:rPr>
          <w:color w:val="000000"/>
        </w:rPr>
        <w:t xml:space="preserve">, </w:t>
      </w:r>
      <w:r>
        <w:t>un secolo dopo la nostra,</w:t>
      </w:r>
      <w:r>
        <w:rPr>
          <w:color w:val="000000"/>
        </w:rPr>
        <w:t xml:space="preserve"> nella capitale del Granducato di Lituania </w:t>
      </w:r>
      <w:r>
        <w:rPr>
          <w:color w:val="000000"/>
        </w:rPr>
        <w:lastRenderedPageBreak/>
        <w:t>ed oggi una dei più prestigiosi centri di studi, sia scientifici che umanistici, di tutta l’Europa baltica; in particolare si è parlato di un innovativo percorso di laurea denominato “Ed</w:t>
      </w:r>
      <w:r>
        <w:rPr>
          <w:color w:val="000000"/>
        </w:rPr>
        <w:t>ucology”, che ha al suo centro l’ecologia e l’educazione ambientale.</w:t>
      </w:r>
    </w:p>
    <w:p w14:paraId="2DCB7F90" w14:textId="77777777" w:rsidR="00A1627C" w:rsidRDefault="00624095" w:rsidP="00624095">
      <w:pPr>
        <w:pStyle w:val="Titolo3"/>
        <w:spacing w:line="276" w:lineRule="auto"/>
        <w:ind w:hanging="15"/>
      </w:pPr>
      <w:bookmarkStart w:id="6" w:name="_heading=h.3dy6vkm" w:colFirst="0" w:colLast="0"/>
      <w:bookmarkEnd w:id="6"/>
      <w:r>
        <w:t>“Children of Anthropocene: climate change and (intercultural) education”</w:t>
      </w:r>
    </w:p>
    <w:p w14:paraId="72E98E27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Il seminario vero e proprio ha riguardato come dice il titolo, l’Antropocene: è con questo nome che alcuni scienzi</w:t>
      </w:r>
      <w:r>
        <w:rPr>
          <w:color w:val="000000"/>
        </w:rPr>
        <w:t xml:space="preserve">ati definiscono la corrente epoca geologica, che alcuni fanno iniziare con la scoperta dell’energia nucleare, altri invece  con l’avvento della rivoluzione industriale. </w:t>
      </w:r>
    </w:p>
    <w:p w14:paraId="04FF5C04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Il nome -“l’età dell’uomo”, dal greco </w:t>
      </w:r>
      <w:r>
        <w:rPr>
          <w:i/>
          <w:color w:val="000000"/>
        </w:rPr>
        <w:t>“άνθροπος”</w:t>
      </w:r>
      <w:r>
        <w:rPr>
          <w:color w:val="000000"/>
        </w:rPr>
        <w:t xml:space="preserve"> e </w:t>
      </w:r>
      <w:r>
        <w:rPr>
          <w:i/>
          <w:color w:val="000000"/>
        </w:rPr>
        <w:t>“καίνος”</w:t>
      </w:r>
      <w:r>
        <w:rPr>
          <w:color w:val="000000"/>
        </w:rPr>
        <w:t>- rispecchia il fatto che q</w:t>
      </w:r>
      <w:r>
        <w:rPr>
          <w:color w:val="000000"/>
        </w:rPr>
        <w:t>uella in cui viviamo è un’epoca pesantemente influenzata dall’attività dell’essere umano, che è arrivato a modificare non solo il paesaggio, ma anche il clima e la composizione stessa del suolo: in genere le epoche geologiche sono identificate grazie ai di</w:t>
      </w:r>
      <w:r>
        <w:rPr>
          <w:color w:val="000000"/>
        </w:rPr>
        <w:t>fferenti elementi caratteristici presenti nei vari strati della sfera terrestre, dove ormai le tracce della presenza umana sono ben presenti; non si parla solo di monumenti seppelliti e reperti archeologici, ma anche dei rifiuti accumulati nei due secoli c</w:t>
      </w:r>
      <w:r>
        <w:rPr>
          <w:color w:val="000000"/>
        </w:rPr>
        <w:t>he intercorrono dalla comparsa delle prime fabbriche.</w:t>
      </w:r>
    </w:p>
    <w:p w14:paraId="5379C404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I fattori alla base dell’Antropocene e, di conseguenza, del dominio dell’uomo sulla Terra, sono molteplici: Innanzi tutto il numero della popolazione mondiale in costante aumento (recentemente si è ragg</w:t>
      </w:r>
      <w:r>
        <w:rPr>
          <w:color w:val="000000"/>
        </w:rPr>
        <w:t xml:space="preserve">iunta la soglia di 8 miliardi di abitanti) e la necessità di sfruttare un quantitativo di risorse sempre maggiori a discapito delle altre specie animali e vegetali; un tale aumento esponenziale della popolazione, però, non sarebbe stato possibile senza il </w:t>
      </w:r>
      <w:r>
        <w:rPr>
          <w:color w:val="000000"/>
        </w:rPr>
        <w:t xml:space="preserve">progresso delle tecnologia e della scienza, che da un lato hanno permesso a milioni di persone di sopravvivere (si pensi ai vaccini contro il Covid-19), ma dall’altro possono rappresentare una grave minaccia per l’ambiente se usate sconsideratamente, come </w:t>
      </w:r>
      <w:r>
        <w:rPr>
          <w:color w:val="000000"/>
        </w:rPr>
        <w:t xml:space="preserve">dimostra il caso dei combustibili fossili, di cui - da quando è stato scoperto il loro alto valore energetico - si è fatto un uso talmente massiccio, da produrre in pochi decenni molto più inquinamento di quanto non era avvenuto per secoli.  </w:t>
      </w:r>
    </w:p>
    <w:p w14:paraId="0161C0FF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La professore</w:t>
      </w:r>
      <w:r>
        <w:rPr>
          <w:color w:val="000000"/>
        </w:rPr>
        <w:t xml:space="preserve">ssa ha suggerito anche una causa “filosofica” all’origine dell’Antropocene: più l’uomo è progredito, più si è convinto di trovarsi al vertice della piramide dei viventi, ed ha cominciato a comportarsi come se tutto ruotasse intorno a lui, senza pensare se </w:t>
      </w:r>
      <w:r>
        <w:rPr>
          <w:color w:val="000000"/>
        </w:rPr>
        <w:t>ciò che gli permetteva di condurre una vita più agiata potesse danneggiare quella dei suoi “vicini”.</w:t>
      </w:r>
    </w:p>
    <w:p w14:paraId="1E35AD90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Le conseguenze adesso si stanno mostrando in tutta la loro drammaticità: lo scioglimento dei ghiacciai, l’estinzione di diverse specie animali e vegetali, </w:t>
      </w:r>
      <w:r>
        <w:rPr>
          <w:color w:val="000000"/>
        </w:rPr>
        <w:t>la desertificazione dei territori, eventi climatici estremi sempre più frequenti, il surriscaldamento globale … questo è solo l’inizio di una serie di cambiamenti climatici non naturali riconducibili ad uno sregolato uso dei combustibili fossili e ad una s</w:t>
      </w:r>
      <w:r>
        <w:rPr>
          <w:color w:val="000000"/>
        </w:rPr>
        <w:t>elvaggia deforestazione.</w:t>
      </w:r>
    </w:p>
    <w:p w14:paraId="0C502643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Di fronte ad un tale scenario, l’intera popolazione mondiale non può non pensare a quale sarà il proprio futuro: c’è chi crede fermamente nel potere delle nuove tecnologie, che potrebbero riparare i danni di quelle “vecchie”; altri</w:t>
      </w:r>
      <w:r>
        <w:rPr>
          <w:color w:val="000000"/>
        </w:rPr>
        <w:t xml:space="preserve"> invece sostengono che sia necessario un “ritorno alle origini”, ovvero alla natura; ma nulla di ciò sarà possibile se prima l’uomo non comprenderà di non dover agire solo nel suo interesse, ma anche in quello della biodiversità che rende il nostro pianeta</w:t>
      </w:r>
      <w:r>
        <w:rPr>
          <w:color w:val="000000"/>
        </w:rPr>
        <w:t xml:space="preserve"> unico ed insostituibile.</w:t>
      </w:r>
    </w:p>
    <w:p w14:paraId="79D8991D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lastRenderedPageBreak/>
        <w:t>Una cosa che è piaciuta particolarmente alla classe è stato ascoltare ad occhi chiusi ciò che la prof.ssa Kaire chiamava "il suono dell' Antropocene" e cercare di indovinare poi di cosa si trattasse: si è scoperto alla fine che er</w:t>
      </w:r>
      <w:r>
        <w:t>a il suono dello scioglimento dei ghiacciai, per noi un’ulteriore presa di coscienza sulla situazione critica che la nostra societá ti ritrova ad affrontare.</w:t>
      </w:r>
    </w:p>
    <w:p w14:paraId="0576DBA5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Conclusione</w:t>
      </w:r>
    </w:p>
    <w:p w14:paraId="3BD50C9A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Dopo aver concluso la presentazione con la proiezione di un breve spot sul cambiamento</w:t>
      </w:r>
      <w:r>
        <w:rPr>
          <w:color w:val="000000"/>
        </w:rPr>
        <w:t xml:space="preserve"> climatico, è iniziata la parte laboratoriale del seminario, estremamente coinvolgente in quanto fondata su pratiche di didattica cooperativa: la prof.ssa Kaire ha invitato gli studenti a riflettere su quali siano le principali cose che andrebbero cambiate</w:t>
      </w:r>
      <w:r>
        <w:rPr>
          <w:color w:val="000000"/>
        </w:rPr>
        <w:t xml:space="preserve"> per un futuro più sostenibile e le possibili soluzioni applicabili, stimolando così la nascita di un breve dibattito; altri “casi su tematiche ambientaliste”, con riferimento ad un lavoro di “problem solving” condotto a gruppi, sono stati esaminati nel co</w:t>
      </w:r>
      <w:r>
        <w:rPr>
          <w:color w:val="000000"/>
        </w:rPr>
        <w:t xml:space="preserve">rso della mattinata sotto la guida delle altre docenti presenti, che hanno concluso l'incontro coinvolgendo la classe nell'esposizione e commento in plenaria dei risultati raggiunti da ciascun gruppo. </w:t>
      </w:r>
    </w:p>
    <w:p w14:paraId="77514A9B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both"/>
        <w:rPr>
          <w:color w:val="000000"/>
        </w:rPr>
      </w:pPr>
      <w:bookmarkStart w:id="7" w:name="_GoBack"/>
      <w:bookmarkEnd w:id="7"/>
      <w:r>
        <w:rPr>
          <w:color w:val="000000"/>
        </w:rPr>
        <w:t>L'incontro è stato strutturato in modo tale da permettere anche ai non informati sull'argomento di seguire e comprendere, ma dobbiamo ammettere che le tematiche trattate hanno toccato una corda su cui la nostra classe è molto sensibile ed informata. Ciò ch</w:t>
      </w:r>
      <w:r>
        <w:rPr>
          <w:color w:val="000000"/>
        </w:rPr>
        <w:t xml:space="preserve">e è stato unanimemente apprezzato, in quanto innovativo e inusuale per noi, è stato il metodo usato dalle relatrice per comunicare e coinvolgere: lo svolgimento di attività interattive che segue una precedente trattazione teorica permette infatti di usare </w:t>
      </w:r>
      <w:r>
        <w:rPr>
          <w:color w:val="000000"/>
        </w:rPr>
        <w:t>concretamente le conoscenze appena acquisite, facilitando così l'apprendimento e stimolando l'attenzione e la riflessione.</w:t>
      </w:r>
    </w:p>
    <w:p w14:paraId="04A81446" w14:textId="77777777" w:rsidR="00A1627C" w:rsidRDefault="00624095" w:rsidP="0062409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Le relatrici inoltre sono state molto abili nel creare un clima aperto ad ogni tipo di opinione venisse in mente agli studenti, raggi</w:t>
      </w:r>
      <w:r>
        <w:rPr>
          <w:color w:val="000000"/>
        </w:rPr>
        <w:t>ungendo così l'obiettivo di questo genere di incontri: informare e sviluppare un pensiero critico e creativo, perché solo così i giovani saranno in grado di migliorare -e salvare - non solo il proprio futuro, ma anche quelle delle generazioni a venire.</w:t>
      </w:r>
    </w:p>
    <w:sectPr w:rsidR="00A162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FC0E2" w14:textId="77777777" w:rsidR="00000000" w:rsidRDefault="00624095">
      <w:pPr>
        <w:spacing w:before="0" w:line="240" w:lineRule="auto"/>
      </w:pPr>
      <w:r>
        <w:separator/>
      </w:r>
    </w:p>
  </w:endnote>
  <w:endnote w:type="continuationSeparator" w:id="0">
    <w:p w14:paraId="5F5AE3B3" w14:textId="77777777" w:rsidR="00000000" w:rsidRDefault="006240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Economica">
    <w:altName w:val="Times New Roman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EB05A" w14:textId="77777777" w:rsidR="00A1627C" w:rsidRDefault="00624095">
    <w:pPr>
      <w:pStyle w:val="normal"/>
      <w:pBdr>
        <w:top w:val="nil"/>
        <w:left w:val="nil"/>
        <w:bottom w:val="nil"/>
        <w:right w:val="nil"/>
        <w:between w:val="nil"/>
      </w:pBdr>
      <w:spacing w:before="0" w:line="240" w:lineRule="auto"/>
      <w:rPr>
        <w:color w:val="000000"/>
      </w:rPr>
    </w:pPr>
    <w:r>
      <w:rPr>
        <w:noProof/>
        <w:color w:val="000000"/>
        <w:lang w:val="it-IT"/>
      </w:rPr>
      <w:drawing>
        <wp:inline distT="114300" distB="114300" distL="114300" distR="114300" wp14:anchorId="04719BA4" wp14:editId="156C8B58">
          <wp:extent cx="5943600" cy="25400"/>
          <wp:effectExtent l="0" t="0" r="0" b="0"/>
          <wp:docPr id="9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005153" w14:textId="77777777" w:rsidR="00A1627C" w:rsidRDefault="00624095">
    <w:pPr>
      <w:pStyle w:val="normal"/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  <w:color w:val="000000"/>
      </w:rPr>
    </w:pPr>
    <w:r>
      <w:rPr>
        <w:rFonts w:ascii="Economica" w:eastAsia="Economica" w:hAnsi="Economica" w:cs="Economica"/>
        <w:color w:val="000000"/>
      </w:rPr>
      <w:fldChar w:fldCharType="begin"/>
    </w:r>
    <w:r>
      <w:rPr>
        <w:rFonts w:ascii="Economica" w:eastAsia="Economica" w:hAnsi="Economica" w:cs="Economica"/>
        <w:color w:val="000000"/>
      </w:rPr>
      <w:instrText>PAGE</w:instrText>
    </w:r>
    <w:r>
      <w:rPr>
        <w:rFonts w:ascii="Economica" w:eastAsia="Economica" w:hAnsi="Economica" w:cs="Economica"/>
        <w:color w:val="000000"/>
      </w:rPr>
      <w:fldChar w:fldCharType="separate"/>
    </w:r>
    <w:r>
      <w:rPr>
        <w:rFonts w:ascii="Economica" w:eastAsia="Economica" w:hAnsi="Economica" w:cs="Economica"/>
        <w:noProof/>
        <w:color w:val="000000"/>
      </w:rPr>
      <w:t>2</w:t>
    </w:r>
    <w:r>
      <w:rPr>
        <w:rFonts w:ascii="Economica" w:eastAsia="Economica" w:hAnsi="Economica" w:cs="Economica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478F5" w14:textId="77777777" w:rsidR="00A1627C" w:rsidRDefault="00624095">
    <w:pPr>
      <w:pStyle w:val="normal"/>
      <w:pBdr>
        <w:top w:val="nil"/>
        <w:left w:val="nil"/>
        <w:bottom w:val="nil"/>
        <w:right w:val="nil"/>
        <w:between w:val="nil"/>
      </w:pBdr>
      <w:spacing w:before="0"/>
      <w:rPr>
        <w:color w:val="000000"/>
      </w:rPr>
    </w:pPr>
    <w:r>
      <w:rPr>
        <w:noProof/>
        <w:color w:val="000000"/>
        <w:lang w:val="it-IT"/>
      </w:rPr>
      <w:drawing>
        <wp:inline distT="114300" distB="114300" distL="114300" distR="114300" wp14:anchorId="002A5B41" wp14:editId="73FB8D80">
          <wp:extent cx="5943600" cy="25400"/>
          <wp:effectExtent l="0" t="0" r="0" b="0"/>
          <wp:docPr id="10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B1379A" w14:textId="77777777" w:rsidR="00A1627C" w:rsidRDefault="00A1627C">
    <w:pPr>
      <w:pStyle w:val="Sottotitolo"/>
      <w:ind w:hanging="15"/>
    </w:pPr>
    <w:bookmarkStart w:id="9" w:name="_heading=h.4d34og8" w:colFirst="0" w:colLast="0"/>
    <w:bookmarkEnd w:id="9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8A618" w14:textId="77777777" w:rsidR="00000000" w:rsidRDefault="00624095">
      <w:pPr>
        <w:spacing w:before="0" w:line="240" w:lineRule="auto"/>
      </w:pPr>
      <w:r>
        <w:separator/>
      </w:r>
    </w:p>
  </w:footnote>
  <w:footnote w:type="continuationSeparator" w:id="0">
    <w:p w14:paraId="6FEC378B" w14:textId="77777777" w:rsidR="00000000" w:rsidRDefault="006240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0235D" w14:textId="77777777" w:rsidR="00A1627C" w:rsidRDefault="00A1627C">
    <w:pPr>
      <w:pStyle w:val="Sottotitolo"/>
      <w:spacing w:before="600"/>
      <w:ind w:hanging="15"/>
    </w:pPr>
    <w:bookmarkStart w:id="8" w:name="_heading=h.1t3h5sf" w:colFirst="0" w:colLast="0"/>
    <w:bookmarkEnd w:id="8"/>
  </w:p>
  <w:p w14:paraId="648975C2" w14:textId="77777777" w:rsidR="00A1627C" w:rsidRDefault="00624095">
    <w:pPr>
      <w:pStyle w:val="normal"/>
      <w:pBdr>
        <w:top w:val="nil"/>
        <w:left w:val="nil"/>
        <w:bottom w:val="nil"/>
        <w:right w:val="nil"/>
        <w:between w:val="nil"/>
      </w:pBdr>
      <w:spacing w:before="0" w:line="240" w:lineRule="auto"/>
      <w:rPr>
        <w:color w:val="000000"/>
      </w:rPr>
    </w:pPr>
    <w:r>
      <w:rPr>
        <w:noProof/>
        <w:color w:val="000000"/>
        <w:lang w:val="it-IT"/>
      </w:rPr>
      <w:drawing>
        <wp:inline distT="114300" distB="114300" distL="114300" distR="114300" wp14:anchorId="0B505FB7" wp14:editId="2574947F">
          <wp:extent cx="5943600" cy="25400"/>
          <wp:effectExtent l="0" t="0" r="0" b="0"/>
          <wp:docPr id="7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48390" w14:textId="77777777" w:rsidR="00A1627C" w:rsidRDefault="00A1627C">
    <w:pPr>
      <w:pStyle w:val="normal"/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627C"/>
    <w:rsid w:val="00624095"/>
    <w:rsid w:val="00A1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423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it" w:eastAsia="it-IT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ind w:firstLine="15"/>
      <w:outlineLvl w:val="0"/>
    </w:pPr>
    <w:rPr>
      <w:b/>
      <w:color w:val="000000"/>
      <w:sz w:val="32"/>
      <w:szCs w:val="32"/>
    </w:rPr>
  </w:style>
  <w:style w:type="paragraph" w:styleId="Tito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480" w:line="240" w:lineRule="auto"/>
      <w:ind w:right="1785" w:firstLine="15"/>
      <w:outlineLvl w:val="1"/>
    </w:pPr>
    <w:rPr>
      <w:b/>
      <w:color w:val="000000"/>
      <w:sz w:val="26"/>
      <w:szCs w:val="26"/>
    </w:rPr>
  </w:style>
  <w:style w:type="paragraph" w:styleId="Tito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ind w:firstLine="15"/>
      <w:outlineLvl w:val="2"/>
    </w:pPr>
    <w:rPr>
      <w:b/>
      <w:color w:val="8C7252"/>
      <w:sz w:val="24"/>
      <w:szCs w:val="24"/>
    </w:rPr>
  </w:style>
  <w:style w:type="paragraph" w:styleId="Tito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0" w:line="240" w:lineRule="auto"/>
      <w:ind w:left="0" w:firstLine="15"/>
    </w:pPr>
    <w:rPr>
      <w:rFonts w:ascii="Economica" w:eastAsia="Economica" w:hAnsi="Economica" w:cs="Economica"/>
      <w:color w:val="000000"/>
      <w:sz w:val="60"/>
      <w:szCs w:val="60"/>
    </w:rPr>
  </w:style>
  <w:style w:type="paragraph" w:customStyle="1" w:styleId="normal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15"/>
    </w:pPr>
    <w:rPr>
      <w:rFonts w:ascii="Economica" w:eastAsia="Economica" w:hAnsi="Economica" w:cs="Economica"/>
      <w:color w:val="999999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4095"/>
    <w:pPr>
      <w:spacing w:before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2409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it" w:eastAsia="it-IT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ind w:firstLine="15"/>
      <w:outlineLvl w:val="0"/>
    </w:pPr>
    <w:rPr>
      <w:b/>
      <w:color w:val="000000"/>
      <w:sz w:val="32"/>
      <w:szCs w:val="32"/>
    </w:rPr>
  </w:style>
  <w:style w:type="paragraph" w:styleId="Tito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480" w:line="240" w:lineRule="auto"/>
      <w:ind w:right="1785" w:firstLine="15"/>
      <w:outlineLvl w:val="1"/>
    </w:pPr>
    <w:rPr>
      <w:b/>
      <w:color w:val="000000"/>
      <w:sz w:val="26"/>
      <w:szCs w:val="26"/>
    </w:rPr>
  </w:style>
  <w:style w:type="paragraph" w:styleId="Tito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ind w:firstLine="15"/>
      <w:outlineLvl w:val="2"/>
    </w:pPr>
    <w:rPr>
      <w:b/>
      <w:color w:val="8C7252"/>
      <w:sz w:val="24"/>
      <w:szCs w:val="24"/>
    </w:rPr>
  </w:style>
  <w:style w:type="paragraph" w:styleId="Tito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160"/>
      <w:ind w:firstLine="15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0" w:line="240" w:lineRule="auto"/>
      <w:ind w:left="0" w:firstLine="15"/>
    </w:pPr>
    <w:rPr>
      <w:rFonts w:ascii="Economica" w:eastAsia="Economica" w:hAnsi="Economica" w:cs="Economica"/>
      <w:color w:val="000000"/>
      <w:sz w:val="60"/>
      <w:szCs w:val="60"/>
    </w:rPr>
  </w:style>
  <w:style w:type="paragraph" w:customStyle="1" w:styleId="normal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15"/>
    </w:pPr>
    <w:rPr>
      <w:rFonts w:ascii="Economica" w:eastAsia="Economica" w:hAnsi="Economica" w:cs="Economica"/>
      <w:color w:val="999999"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4095"/>
    <w:pPr>
      <w:spacing w:before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2409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9yYFTNn3ZVZApi3+ITr0UOM6g==">AMUW2mWhYOoK3xsOhOwe3zeGuwfkwRY0DkeyxWXTNd5K9cnKIBzFORtlkNj7UmYyrpCF4ziGF2IxTJrgRN6+f/IyI3aHwK+UMYFuuB22433kNXuIy7er2nMOn999tN1H2BJAg2t3H7VANnaCZx5SPCFgH7B+tGDlyM4JHbuEbUg46YFbV4s/SxB6JdGyc1uat3LxNaN8owRN0TuTN05SJgWq8XSo2f7+nV7+7DCqf9LX1qzwfs7nxOI=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1010</Words>
  <Characters>5760</Characters>
  <Application>Microsoft Macintosh Word</Application>
  <DocSecurity>0</DocSecurity>
  <Lines>48</Lines>
  <Paragraphs>13</Paragraphs>
  <ScaleCrop>false</ScaleCrop>
  <Company/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Motta</cp:lastModifiedBy>
  <cp:revision>2</cp:revision>
  <dcterms:created xsi:type="dcterms:W3CDTF">2022-12-01T16:24:00Z</dcterms:created>
  <dcterms:modified xsi:type="dcterms:W3CDTF">2022-12-01T16:27:00Z</dcterms:modified>
</cp:coreProperties>
</file>